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5A1" w:rsidRPr="00601FC1" w:rsidRDefault="00E465A1" w:rsidP="00E465A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601FC1">
        <w:rPr>
          <w:rFonts w:ascii="Times New Roman" w:eastAsia="Times New Roman" w:hAnsi="Times New Roman" w:cs="Times New Roman"/>
          <w:lang w:eastAsia="pl-PL"/>
        </w:rPr>
        <w:t>Załącznik B.54.</w:t>
      </w:r>
    </w:p>
    <w:p w:rsidR="00E465A1" w:rsidRPr="00601FC1" w:rsidRDefault="00E465A1" w:rsidP="00E465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465A1" w:rsidRPr="00601FC1" w:rsidRDefault="00E465A1" w:rsidP="007B7F64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601FC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CHORYCH NA OPORNEGO LUB NAWROTOWEGO SZPICZAKA </w:t>
      </w:r>
      <w:r w:rsidR="007B7F6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PLAZMOCYTOWEGO </w:t>
      </w:r>
      <w:r w:rsidRPr="00601FC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(ICD10 C90.0)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677"/>
        <w:gridCol w:w="5404"/>
      </w:tblGrid>
      <w:tr w:rsidR="00E465A1" w:rsidRPr="00601FC1" w:rsidTr="0009638B">
        <w:trPr>
          <w:trHeight w:val="43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E465A1" w:rsidRPr="00601FC1" w:rsidTr="0009638B">
        <w:trPr>
          <w:trHeight w:val="131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 DAWKOWANIA LEKÓW W 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 DIAGNOSTYCZNE WYKONYWANE W RAMACH PROGRAMU</w:t>
            </w:r>
          </w:p>
        </w:tc>
      </w:tr>
      <w:tr w:rsidR="00E465A1" w:rsidRPr="00601FC1" w:rsidTr="0009638B">
        <w:trPr>
          <w:trHeight w:val="245"/>
        </w:trPr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E465A1" w:rsidRPr="00601FC1" w:rsidTr="00034E63">
        <w:trPr>
          <w:trHeight w:val="1408"/>
        </w:trPr>
        <w:tc>
          <w:tcPr>
            <w:tcW w:w="17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601FC1" w:rsidRDefault="00E465A1" w:rsidP="007B7F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1. Leczenie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chorych na opornego lub nawrotowego szpiczaka</w:t>
            </w:r>
            <w:r w:rsidR="00187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B7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1.1. Kryteria kwalifikacji </w:t>
            </w:r>
          </w:p>
          <w:p w:rsidR="00E465A1" w:rsidRPr="00601FC1" w:rsidRDefault="00E465A1" w:rsidP="007B7F64">
            <w:pPr>
              <w:widowControl w:val="0"/>
              <w:spacing w:after="0"/>
              <w:ind w:left="40" w:righ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 programu kwalifikowani są pacjenci z opornym lub nawrotowym szpiczakiem </w:t>
            </w:r>
            <w:proofErr w:type="spellStart"/>
            <w:r w:rsidR="007B7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plazmocytowym</w:t>
            </w:r>
            <w:proofErr w:type="spellEnd"/>
            <w:r w:rsidR="007B7F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wieku 18 lat i powyżej, u których spełniony jest co najmniej jeden z warunków:</w:t>
            </w:r>
          </w:p>
          <w:p w:rsidR="00E465A1" w:rsidRPr="00601FC1" w:rsidRDefault="00E465A1" w:rsidP="008C4E99">
            <w:pPr>
              <w:widowControl w:val="0"/>
              <w:numPr>
                <w:ilvl w:val="0"/>
                <w:numId w:val="3"/>
              </w:numPr>
              <w:tabs>
                <w:tab w:val="left" w:pos="400"/>
              </w:tabs>
              <w:spacing w:after="0" w:line="240" w:lineRule="auto"/>
              <w:ind w:right="10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 co najmniej dwa poprzedzające protokoły leczenia;</w:t>
            </w:r>
          </w:p>
          <w:p w:rsidR="00E465A1" w:rsidRPr="00601FC1" w:rsidRDefault="00E465A1" w:rsidP="0009638B">
            <w:pPr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spacing w:after="0" w:line="240" w:lineRule="auto"/>
              <w:ind w:right="10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stosowano uprzednio co najmniej jeden protokół leczenia i wystąpiła po nim polineuropatia obwodowa co najmniej 2 stopnia, jeśli ten protokół obejmował talidomid lub co najmniej 3 stopnia, jeśli ten protokół obejmował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:rsidR="00E465A1" w:rsidRPr="00601FC1" w:rsidRDefault="00E465A1" w:rsidP="0009638B">
            <w:pPr>
              <w:widowControl w:val="0"/>
              <w:numPr>
                <w:ilvl w:val="0"/>
                <w:numId w:val="3"/>
              </w:numPr>
              <w:tabs>
                <w:tab w:val="left" w:pos="299"/>
              </w:tabs>
              <w:spacing w:after="0" w:line="240" w:lineRule="auto"/>
              <w:ind w:right="10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 chorego nie jest planowane przeszczepienie komórek macierzystych szpiku i w pierwszym rzucie leczenia stosowano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bortezomib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:rsidR="00E465A1" w:rsidRPr="00601FC1" w:rsidRDefault="00E465A1" w:rsidP="0009638B">
            <w:pPr>
              <w:widowControl w:val="0"/>
              <w:tabs>
                <w:tab w:val="left" w:pos="299"/>
              </w:tabs>
              <w:spacing w:after="0"/>
              <w:ind w:left="760" w:right="10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1.2. Określenie czasu leczenia w programie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do progresji choroby (z zastrzeżeniem pkt 1.4. niżej) lub wyst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ąpienia nietolerancji leku mimo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 redukcji dawki do 15, 10 lub 5 mg zgodnie z zaleceniami Charakterystyki Produktu Leczniczego.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1.3. Kryteria niepozwalające na zakwalifikowanie </w:t>
            </w: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do programu ze względu na bezpieczeństwo:</w:t>
            </w:r>
          </w:p>
          <w:p w:rsidR="00E465A1" w:rsidRPr="00601FC1" w:rsidRDefault="00E465A1" w:rsidP="000963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 liczba neutrofili &lt;1,0x10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liczba płytek krwi &lt;75x10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 lub &lt;30x10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/l, w zależności od nacieczenia szpiku kostnego przez komórki plazmatyczne;</w:t>
            </w:r>
          </w:p>
          <w:p w:rsidR="00E465A1" w:rsidRPr="00601FC1" w:rsidRDefault="00E465A1" w:rsidP="000963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ciąża;</w:t>
            </w:r>
          </w:p>
          <w:p w:rsidR="00E465A1" w:rsidRPr="00601FC1" w:rsidRDefault="00E465A1" w:rsidP="000963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niemożność stosowania się do programu zapobiegania ciąży (dotyczy kobiet i mężczyzn);</w:t>
            </w:r>
          </w:p>
          <w:p w:rsidR="00E465A1" w:rsidRPr="00601FC1" w:rsidRDefault="00E465A1" w:rsidP="0009638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nadwrażliwość na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którąkolwiek substancję pomocniczą.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1.4. Kryteria zakończenia udziału w programie:</w:t>
            </w:r>
          </w:p>
          <w:p w:rsidR="00E465A1" w:rsidRPr="00601FC1" w:rsidRDefault="00E465A1" w:rsidP="0009638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progresja choroby po więcej niż 2 cyklach leczenia;</w:t>
            </w:r>
          </w:p>
          <w:p w:rsidR="00E465A1" w:rsidRPr="00601FC1" w:rsidRDefault="00E465A1" w:rsidP="0009638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 co najmniej częściowej odpowiedzi  po 6 cyklach leczenia.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 Leczenie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chorych na opornego lub nawrotowego szpiczaka </w:t>
            </w:r>
            <w:proofErr w:type="spellStart"/>
            <w:r w:rsidR="007B7F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2.1. Kryteria kwalifikacji do leczenia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</w:p>
          <w:p w:rsidR="00E465A1" w:rsidRPr="00601FC1" w:rsidRDefault="00E465A1" w:rsidP="007B7F6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Do programu kwalifikowani są pacjenci z opornym lub nawrotowym szpiczakiem </w:t>
            </w:r>
            <w:proofErr w:type="spellStart"/>
            <w:r w:rsidR="007B7F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plazmocytowym</w:t>
            </w:r>
            <w:proofErr w:type="spellEnd"/>
            <w:r w:rsidR="007B7F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 wieku 18 lat i powyżej, u których stosowano uprzednio co najmniej dwa schematy leczenia, obejmujące zarówno </w:t>
            </w:r>
            <w:proofErr w:type="spellStart"/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lenalidomid</w:t>
            </w:r>
            <w:proofErr w:type="spellEnd"/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bortezomib</w:t>
            </w:r>
            <w:proofErr w:type="spellEnd"/>
            <w:r w:rsidRPr="00601F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i u których w trakcie ostatniego leczenia nastąpiła progresja choroby.</w:t>
            </w:r>
          </w:p>
          <w:p w:rsidR="00E465A1" w:rsidRPr="00601FC1" w:rsidRDefault="00E465A1" w:rsidP="0009638B">
            <w:pPr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Ponadto do programu lekowego, w celu zapewnienia kontynuacji terapii, mogą być włączeni pacjenci leczeni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ramach innego sposobu finansowania do czasu objęcia refundacją leku w programie lekowym, o ile na dzień rozpoczęcia terapii spełniali kryteria kwalifikacji wskazane w punkcie 2.1. oraz jednocześnie nie spełniali kryteriów niepozwalających na zakwalifikowanie do programu ze względu na bezpieczeństwo, 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określonych w pkt 2.3.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2.2. Określenie czasu leczenia w programie.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kontynuuje się do progresji choroby (z zastrzeżeniem p. 2.4. niżej) lub wystąpienia nietolerancji leku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 zastosowania redukcji dawki do 3, 2 lub 1 mg zgodnie z zaleceniami Charakterystyki Produktu Leczniczego</w:t>
            </w: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:rsidR="00E465A1" w:rsidRPr="00601FC1" w:rsidRDefault="00E465A1" w:rsidP="0009638B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2.3. Kryteria niepozwalające na zakwalifikowanie do programu ze względu na bezpieczeństwo:</w:t>
            </w:r>
          </w:p>
          <w:p w:rsidR="00E465A1" w:rsidRPr="00601FC1" w:rsidRDefault="00E465A1" w:rsidP="0009638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bezwzględna 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liczba neutrofili &lt;1 x 10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/l i/lub liczba płytek krwi &lt;50 x 10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/l;</w:t>
            </w:r>
          </w:p>
          <w:p w:rsidR="00E465A1" w:rsidRPr="00601FC1" w:rsidRDefault="00E465A1" w:rsidP="0009638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ciąża;</w:t>
            </w:r>
          </w:p>
          <w:p w:rsidR="00E465A1" w:rsidRPr="00601FC1" w:rsidRDefault="00E465A1" w:rsidP="0009638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niemożność stosowania się do programu zapobiegania ciąży (dotyczy kobiet i mężczyzn);</w:t>
            </w:r>
          </w:p>
          <w:p w:rsidR="00E465A1" w:rsidRPr="00601FC1" w:rsidRDefault="00E465A1" w:rsidP="0009638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nadwrażliwość na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którąkolwiek substancję pomocniczą.</w:t>
            </w:r>
          </w:p>
          <w:p w:rsidR="00E465A1" w:rsidRPr="00601FC1" w:rsidRDefault="00E465A1" w:rsidP="0009638B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tabs>
                <w:tab w:val="left" w:pos="198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2.4. Kryteria zakończenia udziału w programie</w:t>
            </w:r>
          </w:p>
          <w:p w:rsidR="00E465A1" w:rsidRPr="00601FC1" w:rsidRDefault="00E465A1" w:rsidP="0009638B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progresja choroby po więcej niż 2 cyklach leczenia;</w:t>
            </w:r>
          </w:p>
          <w:p w:rsidR="00E465A1" w:rsidRDefault="00E465A1" w:rsidP="0009638B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 co najmniej częściowej odpowiedzi po 6 cyklach  leczenia.</w:t>
            </w: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:rsidR="008C4E99" w:rsidRDefault="008C4E99" w:rsidP="008C4E99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8C4E99" w:rsidRDefault="00F90AEC" w:rsidP="00F90AE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3. </w:t>
            </w:r>
            <w:proofErr w:type="spellStart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Daratumumab</w:t>
            </w:r>
            <w:proofErr w:type="spellEnd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bortezomibem</w:t>
            </w:r>
            <w:proofErr w:type="spellEnd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proofErr w:type="spellStart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deksametazonem</w:t>
            </w:r>
            <w:proofErr w:type="spellEnd"/>
            <w:r w:rsidR="008C4E99"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leczeniu chory</w:t>
            </w:r>
            <w:r w:rsidR="008C4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 na szpiczaka </w:t>
            </w:r>
            <w:proofErr w:type="spellStart"/>
            <w:r w:rsidR="008C4E99">
              <w:rPr>
                <w:rFonts w:ascii="Times New Roman" w:hAnsi="Times New Roman" w:cs="Times New Roman"/>
                <w:b/>
                <w:sz w:val="20"/>
                <w:szCs w:val="20"/>
              </w:rPr>
              <w:t>plazmocytowego</w:t>
            </w:r>
            <w:proofErr w:type="spellEnd"/>
            <w:r w:rsidR="008C4E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C4E99" w:rsidRPr="008C4E99" w:rsidRDefault="008C4E99" w:rsidP="008C4E99">
            <w:pPr>
              <w:spacing w:before="24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3.1 Kryteria kwalifikacji</w:t>
            </w:r>
          </w:p>
          <w:p w:rsidR="008C4E99" w:rsidRPr="008C4E99" w:rsidRDefault="008C4E99" w:rsidP="008C4E9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Do programu kwalifikowani są dorośli (≥18 lat) chorzy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247B">
              <w:rPr>
                <w:rFonts w:ascii="Times New Roman" w:hAnsi="Times New Roman" w:cs="Times New Roman"/>
                <w:sz w:val="20"/>
                <w:szCs w:val="20"/>
              </w:rPr>
              <w:t>na nawrotowego i/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lub opornego szpiczaka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, którzy spełniają jedno z poniższych kryteriów:</w:t>
            </w:r>
          </w:p>
          <w:p w:rsidR="008C4E99" w:rsidRPr="008C4E99" w:rsidRDefault="008C4E99" w:rsidP="008C4E99">
            <w:pPr>
              <w:spacing w:before="240" w:after="0" w:line="240" w:lineRule="auto"/>
              <w:ind w:left="4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Pacjenci u których zastosowano jedną linię leczenia, obejmującą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oraz przeszczepienie komórek macierzystych szpiku i celowe jest ponowne leczenie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zgodnie z zaleceniami klinicznymi pod warunkiem niewystępowania polineuropatii obwodowej lub bólu neuropatycznego ≥ 2 stopnia;</w:t>
            </w:r>
          </w:p>
          <w:p w:rsidR="008C4E99" w:rsidRPr="008C4E99" w:rsidRDefault="008C4E99" w:rsidP="008C4E99">
            <w:pPr>
              <w:spacing w:before="240" w:after="0" w:line="240" w:lineRule="auto"/>
              <w:ind w:left="489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2. Pacjenci u których zastosowano 2 lub 3 poprzedzające linie leczenia, obejmujące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lenalidomid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4E99" w:rsidRDefault="008C4E99" w:rsidP="008C4E9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C4E99" w:rsidRPr="008C4E99" w:rsidRDefault="008C4E99" w:rsidP="008C4E99">
            <w:pPr>
              <w:spacing w:before="24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.2. Określenie czasu leczenia w programie</w:t>
            </w:r>
          </w:p>
          <w:p w:rsidR="008C4E99" w:rsidRPr="008C4E99" w:rsidRDefault="008C4E99" w:rsidP="008C4E99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Leczenie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kontynuuje się do progresji choroby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lub nieakceptowalnej toksyczności zgodnie z zaleceniami Charakterystyk Produktów Leczniczych.</w:t>
            </w:r>
            <w:r w:rsidRPr="008C4E99" w:rsidDel="007D3D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4E99" w:rsidRPr="008C4E99" w:rsidRDefault="008C4E99" w:rsidP="008C4E99">
            <w:pPr>
              <w:pStyle w:val="Akapitzlist"/>
              <w:numPr>
                <w:ilvl w:val="1"/>
                <w:numId w:val="13"/>
              </w:numPr>
              <w:spacing w:before="24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Kryteria wykluczające udział w programie</w:t>
            </w:r>
          </w:p>
          <w:p w:rsidR="008C4E99" w:rsidRDefault="008C4E99" w:rsidP="008C4E99">
            <w:pPr>
              <w:numPr>
                <w:ilvl w:val="0"/>
                <w:numId w:val="10"/>
              </w:numPr>
              <w:spacing w:before="240"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lub którąkolwiek substancję pomocniczą;</w:t>
            </w:r>
          </w:p>
          <w:p w:rsidR="008C4E99" w:rsidRPr="00377C26" w:rsidRDefault="008C4E99" w:rsidP="008C4E99">
            <w:pPr>
              <w:numPr>
                <w:ilvl w:val="0"/>
                <w:numId w:val="10"/>
              </w:numPr>
              <w:spacing w:before="240"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Oporność na leczenie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lub przeciwskazania do jego stosowania zgodnie z Charakterystyką Produktu Leczniczego</w:t>
            </w:r>
          </w:p>
          <w:p w:rsidR="008C4E99" w:rsidRPr="008C4E99" w:rsidRDefault="008C4E99" w:rsidP="008C4E99">
            <w:pPr>
              <w:spacing w:before="240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>3.4. Kryteria zakończenia udziału w programie:</w:t>
            </w:r>
          </w:p>
          <w:p w:rsidR="008C4E99" w:rsidRPr="008C4E99" w:rsidRDefault="008C4E99" w:rsidP="00034E63">
            <w:pPr>
              <w:numPr>
                <w:ilvl w:val="0"/>
                <w:numId w:val="12"/>
              </w:num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Progresja choroby w trakcie stosowania leczenia (po co najmniej 2 cyklach leczenia);</w:t>
            </w:r>
          </w:p>
          <w:p w:rsidR="008C4E99" w:rsidRPr="008C4E99" w:rsidRDefault="008C4E99" w:rsidP="00034E63">
            <w:pPr>
              <w:numPr>
                <w:ilvl w:val="0"/>
                <w:numId w:val="12"/>
              </w:num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Brak co najmniej częściowej remisji po 6 cyklach leczenia;</w:t>
            </w:r>
          </w:p>
          <w:p w:rsidR="008C4E99" w:rsidRDefault="008C4E99" w:rsidP="00034E63">
            <w:pPr>
              <w:numPr>
                <w:ilvl w:val="0"/>
                <w:numId w:val="12"/>
              </w:num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Powikłania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uniemożliwiające kontynuację leczenia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zgodnie z Charakterystyką Produktu Leczniczego;</w:t>
            </w:r>
          </w:p>
          <w:p w:rsidR="008C4E99" w:rsidRDefault="00BA3A5B" w:rsidP="00034E63">
            <w:pPr>
              <w:numPr>
                <w:ilvl w:val="0"/>
                <w:numId w:val="12"/>
              </w:num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8C4E99" w:rsidRPr="008C4E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42EE" w:rsidRDefault="00D242EE" w:rsidP="00D242EE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2EE" w:rsidRPr="00A04F61" w:rsidRDefault="00D242EE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4.</w:t>
            </w:r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Leczenie chorych na opornego lu</w:t>
            </w:r>
            <w:r w:rsidR="00ED2F32" w:rsidRPr="00ED2F32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b nawrotowego szpiczaka </w:t>
            </w:r>
            <w:proofErr w:type="spellStart"/>
            <w:r w:rsidR="00ED2F32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lastRenderedPageBreak/>
              <w:t>plazmocytowego</w:t>
            </w:r>
            <w:proofErr w:type="spellEnd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z wykorzystaniem skojarzonego </w:t>
            </w:r>
            <w:r w:rsidR="00BD29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="00BD29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BD29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BD29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="00BD29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.</w:t>
            </w:r>
          </w:p>
          <w:p w:rsidR="00D242EE" w:rsidRPr="00A04F61" w:rsidRDefault="00D242EE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</w:p>
          <w:p w:rsidR="00D242EE" w:rsidRPr="00A04F61" w:rsidRDefault="00ED2F32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</w:t>
            </w:r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1. Kryteria kwalifik</w:t>
            </w:r>
            <w:r w:rsidR="00BD29BF" w:rsidRP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acji do leczenia </w:t>
            </w:r>
            <w:proofErr w:type="spellStart"/>
            <w:r w:rsidR="00BD29BF" w:rsidRP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="00BD29BF" w:rsidRP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w skojarzeniu z</w:t>
            </w:r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BD29BF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deksametazonem</w:t>
            </w:r>
            <w:proofErr w:type="spellEnd"/>
          </w:p>
          <w:p w:rsidR="00D242EE" w:rsidRPr="00A04F61" w:rsidRDefault="00D242EE" w:rsidP="00D242EE">
            <w:pPr>
              <w:widowControl w:val="0"/>
              <w:ind w:left="40"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Do programu kwalifikowani są pacjenci z opornym l</w:t>
            </w:r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ub nawrotowym szpiczakiem </w:t>
            </w:r>
            <w:proofErr w:type="spellStart"/>
            <w:r w:rsid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plazmocytowym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wieku 18 lat i powyżej, u których spełnione są następujące warunki</w:t>
            </w:r>
          </w:p>
          <w:p w:rsidR="00D242EE" w:rsidRPr="00A04F61" w:rsidRDefault="00D242EE" w:rsidP="00D242EE">
            <w:pPr>
              <w:widowControl w:val="0"/>
              <w:ind w:left="40"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stosowano jeden, dwa lub trzy poprzedzające protokoły leczenia; 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w którymkolwiek z  poprzedzających  protokołów leczenia zastosowano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i/lub lek immunomodulujący (talidomid,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pomalidomid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);</w:t>
            </w:r>
          </w:p>
          <w:p w:rsidR="00D242EE" w:rsidRPr="00A04F61" w:rsidRDefault="00D242EE" w:rsidP="00ED2F32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99"/>
              </w:tabs>
              <w:spacing w:after="0"/>
              <w:ind w:left="760"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nie uzyskano remisji częściowej po 4 cyklach wg protokołu </w:t>
            </w:r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zawierającego </w:t>
            </w:r>
            <w:proofErr w:type="spellStart"/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bortezomib</w:t>
            </w:r>
            <w:proofErr w:type="spellEnd"/>
            <w:r w:rsidR="00ED2F32" w:rsidRP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lub stwierdzono progresję choroby po co najmniej 3 </w:t>
            </w:r>
            <w:r w:rsidR="00ED2F32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cyklach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leczenia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jeśli był to ostatni stosowany przez pacjenta protokół leczenia;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pacjent kwalifikuje się do leczenia chemioterapią wysokodawkową i przeszczepieniem komórek krwiotwórczych</w:t>
            </w:r>
          </w:p>
          <w:p w:rsidR="00D242EE" w:rsidRPr="00A04F61" w:rsidRDefault="00D242EE" w:rsidP="00D242EE">
            <w:pPr>
              <w:pStyle w:val="Akapitzlist"/>
              <w:widowControl w:val="0"/>
              <w:tabs>
                <w:tab w:val="left" w:pos="299"/>
              </w:tabs>
              <w:ind w:left="760"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D242EE" w:rsidRPr="00A04F61" w:rsidRDefault="00ED2F32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</w:t>
            </w:r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2. Określenie czasu leczenia w programie</w:t>
            </w:r>
          </w:p>
          <w:p w:rsidR="00D242EE" w:rsidRPr="00A04F61" w:rsidRDefault="00D242EE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Leczenie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do czasu osiągnięcia bardzo dobrej częściowej odpowiedzi na leczenie, przez maksymalnie 8 cykli, lub wystąpienia nietolerancji leku mimo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zastosowania redukcji dawki leku do 20 lub15 mg/m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zgodnie z zaleceniami Charakterystyki Produktu Leczniczego Leczenie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do progresji choroby (z zastrzeżeniem pkt 4 niżej) lub wystąpienia nietolerancji leku mimo zastosowania redukcji dawki do 15, 10 lub 5 mg zgodnie z zaleceniami Charakterystyki Produktu Leczniczego.</w:t>
            </w:r>
          </w:p>
          <w:p w:rsidR="00D242EE" w:rsidRPr="00A04F61" w:rsidRDefault="00D242EE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D242EE" w:rsidRPr="00A04F61" w:rsidRDefault="00995DB3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</w:t>
            </w:r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3. Kryteria niepozwalające na zakwalifikowanie do programu ze względu na bezpieczeństwo: 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bezwzględna liczba neutrofili &lt;0,5x10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/l ; liczba płytek krwi &lt; 30x10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/l (w przypadku małopłytkowości z liczbą płytek krwi &lt;75x10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/l  decyzję o leczeniu należy podjąć na podstawie stopnia nacieczenia szpiku kostnego przez komórki plazmatyczne zgodnie z Charakterystyką Produktu Leczniczego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Revlimid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); 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ciąża i okres karmienia piersią;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niemożność stosowania się do programu zapobiegania ciąży (dotyczy kobiet i mężczyzn</w:t>
            </w: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);</w:t>
            </w:r>
          </w:p>
          <w:p w:rsidR="00D242EE" w:rsidRPr="00A04F61" w:rsidRDefault="00D242EE" w:rsidP="00D242EE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299"/>
              </w:tabs>
              <w:spacing w:after="0"/>
              <w:ind w:right="10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 lub którąkolwiek substancję pomocniczą.</w:t>
            </w:r>
          </w:p>
          <w:p w:rsidR="00D242EE" w:rsidRPr="00A04F61" w:rsidRDefault="00D242EE" w:rsidP="00971E3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nadwrażliwość na </w:t>
            </w:r>
            <w:proofErr w:type="spellStart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 lub którąkolwiek substancję pomocniczą.</w:t>
            </w:r>
          </w:p>
          <w:p w:rsidR="00D242EE" w:rsidRPr="00A04F61" w:rsidRDefault="00D242EE" w:rsidP="00971E3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niewydolność serca stopnia III i IV wg klasyfikacji NYHA</w:t>
            </w:r>
          </w:p>
          <w:p w:rsidR="00D242EE" w:rsidRPr="00A04F61" w:rsidRDefault="00D242EE" w:rsidP="00971E3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zawał mięśnia sercowego przebyty w ciągu ostatnich 4 miesięcy.</w:t>
            </w:r>
          </w:p>
          <w:p w:rsidR="00D242EE" w:rsidRPr="00A04F61" w:rsidRDefault="00D242EE" w:rsidP="00971E3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niekontrolowana  choroba niedokrwienna serca lub niekontrolowane farmakologicznie  nieprawidłowe zmiany przewodzenia impulsów w mięśniu sercowym</w:t>
            </w:r>
          </w:p>
          <w:p w:rsidR="00D242EE" w:rsidRPr="00A04F61" w:rsidRDefault="00D242EE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</w:p>
          <w:p w:rsidR="00D242EE" w:rsidRPr="00A04F61" w:rsidRDefault="00995DB3" w:rsidP="00D242E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lastRenderedPageBreak/>
              <w:t>4.</w:t>
            </w:r>
            <w:r w:rsidR="00D242EE" w:rsidRPr="00A04F61">
              <w:rPr>
                <w:rFonts w:asciiTheme="majorBidi" w:hAnsiTheme="majorBidi" w:cstheme="majorBidi"/>
                <w:b/>
                <w:bCs/>
                <w:color w:val="000000" w:themeColor="text1"/>
                <w:sz w:val="20"/>
                <w:szCs w:val="20"/>
              </w:rPr>
              <w:t>4. Kryteria zakończenia udziału w programie:</w:t>
            </w:r>
          </w:p>
          <w:p w:rsidR="00D242EE" w:rsidRDefault="00D242EE" w:rsidP="00D242E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progresja choroby po więcej niż 2 cyklach leczenia;</w:t>
            </w:r>
          </w:p>
          <w:p w:rsidR="00D242EE" w:rsidRPr="00971E3E" w:rsidRDefault="00D242EE" w:rsidP="00971E3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1E3E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brak remisji częściowej po 4 cyklach leczenia.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1. Dawkowanie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deksametazonu</w:t>
            </w:r>
            <w:proofErr w:type="spellEnd"/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kapsułek twardych a 5,10,</w:t>
            </w:r>
          </w:p>
          <w:p w:rsidR="00E465A1" w:rsidRPr="00A04F61" w:rsidRDefault="00E465A1" w:rsidP="00442E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 lub 25 mg, jest stosowany w skojarzeniu z 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="00442E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Lenalidomid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początkowa: 25 mg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 raz na dobę w dniach 1-21, w powtarzanych 28-dniowych cyklach.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chorych z niewydolnością nerek dawka początkowa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powinna być zgodna z zaleceniami Charakterystyki Produktu Leczniczego.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dawka: 40 mg doustnie raz na dobę w dniach 1-4, 9-12 i 17-20 każdego 28-dniowego cyklu przez pierwsze 4 cykle leczenia, a następnie 40 mg raz na dobę w dniach 1-4 co 28 dni.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Lekarz powinien ocenić, jaką dawkę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zastosować, biorąc pod uwagę stan pacjenta oraz nasilenie choroby.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lub modyfikuje (dawkę leków lub rytm podawania w cyklu) na podstawie obserwacji klinicznych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i wyników laboratoryjnych zgodnie z zaleceniami zawartymi w Charakterystyce Produktu Leczniczego. Liczba dni podawania leku w cyklu leczniczym wynosi 21, niezależnie od ewentualnych przerw w podawaniu leku, a maksymalna dawka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jednym cyklu leczniczym nie może być wyższa niż 525 mg.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deksametazonu</w:t>
            </w:r>
            <w:proofErr w:type="spellEnd"/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postaci kapsułek twardych a 1, 2, 3 lub 4 mg, jest stosowany w skojarzeniu z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Pomalidomid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początkowa: 4 mg doustnie raz na dobę w dniach 1-21, w powtarzanych 28-dniowych cyklach. 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Deksametazon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dawka: 40 mg (20 mg u chorych &gt;75 lat) doustnie raz na dobę w dniach </w:t>
            </w:r>
            <w:r w:rsidRPr="00601FC1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1, 8, 15 i 22 każdego 28-dniowego cyklu leczenia.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UWAGA: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Dawkowanie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kontynuuje się lub modyfikuje (dawkę leków i/lub rytm podawania w cyklu) na podstawie obserwacji klinicznych i wyników laboratoryjnych zgodnie z zaleceniami zawartymi w Charakterystyce Produktu Leczniczego. Liczba dni podawania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pomalidomidu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cyklu leczniczym wynosi 21, niezależnie od ewentualnych przerw w podawaniu leku, a maksymalna dawka leku w jednym cyklu leczniczym nie może być wyższa niż 84 mg.</w:t>
            </w:r>
          </w:p>
          <w:p w:rsidR="00E465A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Default="008C4E99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34E63" w:rsidRDefault="00034E63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C4E99" w:rsidRPr="008C4E99" w:rsidRDefault="008C4E99" w:rsidP="008C4E99">
            <w:pPr>
              <w:pStyle w:val="Akapitzlist"/>
              <w:numPr>
                <w:ilvl w:val="0"/>
                <w:numId w:val="10"/>
              </w:numPr>
              <w:spacing w:before="240" w:after="0" w:line="240" w:lineRule="auto"/>
              <w:ind w:left="190" w:hanging="19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Dawkowanie </w:t>
            </w:r>
            <w:proofErr w:type="spellStart"/>
            <w:r w:rsidR="00646712">
              <w:rPr>
                <w:rFonts w:ascii="Times New Roman" w:hAnsi="Times New Roman" w:cs="Times New Roman"/>
                <w:b/>
                <w:sz w:val="20"/>
                <w:szCs w:val="20"/>
              </w:rPr>
              <w:t>daratumumabu</w:t>
            </w:r>
            <w:proofErr w:type="spellEnd"/>
            <w:r w:rsidR="00646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w dawce 16 mg/kg masy ciała jest podawany we wlewie dożylnym raz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tygodniu w tygodniach 1-9, co trzy tygodnie </w:t>
            </w:r>
            <w:r w:rsidR="00034E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w tygodniach 10-24 oraz co 4 tygodnie od 25 tygodnia leczenia do progresji choroby lub nieakceptowalnej toksyczności.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Długość cyklu od 1 do 24 tyg. leczenia wynosi </w:t>
            </w:r>
            <w:r w:rsidR="00034E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3 tygodnie, a od 25 tyg. leczenia wynosi 4 tygodnie.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Zmiana dawkowania oraz szybkości infuzji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daratumumabu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powinny być prowadzone zgodnie </w:t>
            </w:r>
            <w:r w:rsidR="00034E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z Charakterystyką Produktu Leczniczego. Przed i po zakończeniu infuzji należy podać leki zmniejszające ryzyko wystąpienia reakcji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okołoinfuzyjnych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zgodnie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br/>
              <w:t>z Charakterystyką Produktu Leczniczego.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jest podawany we wstrzyknięciu podskórnym lub infuzji dożylnej w dawce 1,3 mg/m</w:t>
            </w:r>
            <w:r w:rsidRPr="008C4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powierzchni ciała dwa razy w tygodniu przez dwa tygodnie (dni 1., 4., 8. i 11.)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powtarzalnych cyklach terapii trwających 21 dni (3-tygodnie) przez 8 cykli. 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Deksametazon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jest podawany doustnie w dawce 20 mg w dniach 1., 2., 4., 5., 8., 9., 11.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12. każdego z 8 cykli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(80 mg/tydzień przez dwa z trzech tygodni cyklu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bortezomibu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) lub w zmniejszonej dawce 20 mg/tydzień u pacjentów w wieku &gt; 75 lat, BMI &lt; 18,5; ze źle kontrolowaną cukrzycą</w:t>
            </w:r>
            <w:r w:rsidR="00426E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lub wcześniejszą nietolerancją terapii steroidami.</w:t>
            </w:r>
          </w:p>
          <w:p w:rsidR="008C4E99" w:rsidRPr="008C4E99" w:rsidRDefault="008C4E99" w:rsidP="008C4E99">
            <w:pPr>
              <w:tabs>
                <w:tab w:val="left" w:pos="1095"/>
              </w:tabs>
              <w:spacing w:before="2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E99" w:rsidRDefault="008C4E99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terapii skojarzonej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daratumumabem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bortezomibem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>deksametazonem</w:t>
            </w:r>
            <w:proofErr w:type="spellEnd"/>
            <w:r w:rsidRPr="008C4E99">
              <w:rPr>
                <w:rFonts w:ascii="Times New Roman" w:hAnsi="Times New Roman" w:cs="Times New Roman"/>
                <w:sz w:val="20"/>
                <w:szCs w:val="20"/>
              </w:rPr>
              <w:t xml:space="preserve">  zaleca się profilaktykę przeciwwirusową, zapobiegającą reaktywacji wirusa półpaśca.</w:t>
            </w: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D44" w:rsidRDefault="00397D44" w:rsidP="00442E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97D44" w:rsidRDefault="00397D44" w:rsidP="00442E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97D44" w:rsidRDefault="00397D44" w:rsidP="00442E4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42E48" w:rsidRPr="00601FC1" w:rsidRDefault="00442E48" w:rsidP="00BD29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Dawkowanie </w:t>
            </w:r>
            <w:proofErr w:type="spellStart"/>
            <w:r w:rsidR="00BD2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karfilzomibu</w:t>
            </w:r>
            <w:proofErr w:type="spellEnd"/>
            <w:r w:rsidR="00BD2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="00BD29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deksametazonem</w:t>
            </w:r>
            <w:proofErr w:type="spellEnd"/>
          </w:p>
          <w:p w:rsidR="00BD29BF" w:rsidRDefault="00BD29BF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postaci proszku do sporządzania roztworu do infuzji stosowany jest w skojarzeniu z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: Dawkę wylicza się w oparciu o początkowe pole powierzchni ciała pacjenta (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.).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jest podawany dożylnie w postaci infuzji trwającej 10 minut w dwa kolejne dni tygodnia przez okres trzech tygodni (dzień 1., 2., 8., 9., 15. i 16.), po czym następuje 12-dniowy okres bez leczenia (od 17. do 28. dnia). Każdy okres trwający 28 dni jest uważany za jeden cykl leczenia.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jest podawany w dawce początkowej wynoszącej 20 mg/</w:t>
            </w:r>
            <w:r w:rsidRPr="00A04F61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 w 1. i 2. dniu cyklu 1. (dawka maksymalna wynosi 44 mg). Jeśli lek jest dobrze tolerowany, dawkę należy zwiększyć do 27 mg/</w:t>
            </w:r>
            <w:r w:rsidRPr="00A04F61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m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w 8. dniu cyklu 1. (dawka maksymalna wynosi 60 mg). </w:t>
            </w: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UWAGA:</w:t>
            </w: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Pacjenci, u których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jest większa niż 2,2  m2 powinni otrzymywać dawkę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obliczoną dla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wynoszącej 2,2  m2 a zmiany masy ciała nie większe niż 20% nie wymagają modyfikacji dawki. Przed podaniem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cyklu 1. konieczne jest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odpowiednie nawodnienie pacjenta, które należy kontynuować w następnych cyklach stosownie do potrzeb (zgodnie z informacją zawartą w Charakterystyce Produktu Leczniczego). Nie należy podawać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bolusie ani mieszać i podawać we wlewie dożylnym z innymi produktami. Dawka 20/27 mg/ m2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pc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jest podawana przez 10 minut. Dawkowanie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lub modyfikuje (dawkę leków lub rytm podawania w cyklu) na podstawie obserwacji klinicznych i wyników laboratoryjnych zgodnie z zaleceniami zawartymi w odpowiedniej Charakterystyce Produktu Leczniczego. </w:t>
            </w:r>
          </w:p>
          <w:p w:rsidR="00BD29BF" w:rsidRPr="00601FC1" w:rsidRDefault="00BD29BF" w:rsidP="00BD29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</w:t>
            </w:r>
            <w:proofErr w:type="spellEnd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postaci kapsułek twardych a 5,10,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15 lub 25 mg, jest stosowany </w:t>
            </w: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w skojarzeniu z </w:t>
            </w:r>
            <w:proofErr w:type="spellStart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karfilzomibem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deksametazonem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996D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</w:t>
            </w:r>
            <w:proofErr w:type="spellEnd"/>
            <w:r w:rsidRPr="00996D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:</w:t>
            </w: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Zalecana dawka początkowa: 25 mg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doustnie raz na dobę w dniach 1-21, w powtarzanych 28-dniowych cyklach.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U chorych z niewydolnością nerek dawka początkowa </w:t>
            </w:r>
            <w:proofErr w:type="spellStart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powinna być zgodna z zaleceniami Charakterystyki Produktu Leczniczego.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996DBF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UWAGA:</w:t>
            </w:r>
          </w:p>
          <w:p w:rsidR="00BD29BF" w:rsidRPr="00996DBF" w:rsidRDefault="00BD29BF" w:rsidP="00BD29B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Dawkowanie </w:t>
            </w:r>
            <w:proofErr w:type="spellStart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kontynuuje się lub modyfikuje (dawkę leków lub rytm podawania w cyklu) na podstawie obserwacji klinicznych i wyników laboratoryjnych zgodnie z zaleceniami zawartymi w Charakterystyce Produktu Leczniczego. Liczba dni podawania leku w cyklu leczniczym wynosi </w:t>
            </w:r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21, niezależnie od ewentualnych przerw w podawaniu leku, a maksymalna dawka </w:t>
            </w:r>
            <w:proofErr w:type="spellStart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lenalidomidu</w:t>
            </w:r>
            <w:proofErr w:type="spellEnd"/>
            <w:r w:rsidRPr="00996DB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w jednym cyklu leczniczym nie może być wyższa niż 525 mg.</w:t>
            </w: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karfilzomibem</w:t>
            </w:r>
            <w:proofErr w:type="spellEnd"/>
            <w:r w:rsidRPr="00A04F61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: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br/>
              <w:t>Zalecana dawka: 40 mg doustnie lub dożylnie raz na dobę w 1., 8., 15. i 22. dniu cyklu trwającego 28 dni.</w:t>
            </w:r>
          </w:p>
          <w:p w:rsidR="00397D44" w:rsidRPr="00A04F61" w:rsidRDefault="00397D44" w:rsidP="00397D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Lekarz powinien ocenić, jaką dawkę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zastosować, biorąc pod uwagę stan pacjenta oraz nasilenie choroby (u chorych powyżej 75 r.ż. dawkę należy zmniejszyć do 20 mg).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Deksametazon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należy podać od 30 minut do 4 godzin przed podaniem </w:t>
            </w: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karfilzomibu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</w:p>
          <w:p w:rsidR="007B7F64" w:rsidRDefault="007B7F64" w:rsidP="008C4E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1. Badania przy kwalifikacji: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51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wapnia w surowicy;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91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kreatyniny;</w:t>
            </w:r>
          </w:p>
          <w:p w:rsidR="00E465A1" w:rsidRPr="00601FC1" w:rsidRDefault="00E465A1" w:rsidP="000963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491" w:hanging="35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M;</w:t>
            </w:r>
          </w:p>
          <w:p w:rsidR="00E465A1" w:rsidRPr="00601FC1" w:rsidRDefault="00426ECF" w:rsidP="0009638B">
            <w:pPr>
              <w:numPr>
                <w:ilvl w:val="0"/>
                <w:numId w:val="1"/>
              </w:numPr>
              <w:spacing w:after="0" w:line="240" w:lineRule="auto"/>
              <w:ind w:left="149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iskodawkowa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układu kostnego lub badanie RTG (</w:t>
            </w:r>
            <w:r w:rsidR="006E2DF0" w:rsidRP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badanie kośćca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decyzji lekarza)</w:t>
            </w:r>
          </w:p>
          <w:p w:rsidR="00E465A1" w:rsidRDefault="00E465A1" w:rsidP="0009638B">
            <w:pPr>
              <w:numPr>
                <w:ilvl w:val="0"/>
                <w:numId w:val="1"/>
              </w:numPr>
              <w:spacing w:after="0" w:line="240" w:lineRule="auto"/>
              <w:ind w:left="149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6E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26ECF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ośredni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test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(test pośredni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Coombs’a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).- przy 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kwalifikacji do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daratumumabem</w:t>
            </w:r>
            <w:proofErr w:type="spellEnd"/>
          </w:p>
          <w:p w:rsidR="00C623DD" w:rsidRPr="00601FC1" w:rsidRDefault="00426ECF" w:rsidP="0009638B">
            <w:pPr>
              <w:numPr>
                <w:ilvl w:val="0"/>
                <w:numId w:val="1"/>
              </w:numPr>
              <w:spacing w:after="0" w:line="240" w:lineRule="auto"/>
              <w:ind w:left="149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potasu w surowicy krwi, EKG i ocena frakcji wyrzutowej lewej komory serce – przy kwalifikacji do leczenia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karfilzomibem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połączeniu z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deksametazonem</w:t>
            </w:r>
            <w:proofErr w:type="spellEnd"/>
            <w:r w:rsidR="00C623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C623DD" w:rsidRDefault="00C623DD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winny być wykonane w ciągu nie więcej niż 4 tygodni poprzedzających rozpoczęcie leczenia.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dniu kwalifikacji i nie wcześniej niż 7 dni przed wydaniem leku pacjentkom mogącym zajść w ciążę należy wykonać test ciążowy o czułości min. 25mIU/ml. (przy leczeniu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601FC1" w:rsidRDefault="00E465A1" w:rsidP="00BA3A5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2. Monitorowanie leczenia</w:t>
            </w:r>
          </w:p>
          <w:p w:rsidR="00E465A1" w:rsidRPr="00601FC1" w:rsidRDefault="00E465A1" w:rsidP="00BA3A5B">
            <w:pPr>
              <w:spacing w:after="0" w:line="240" w:lineRule="auto"/>
              <w:ind w:left="380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 każdym cyklem leczenia:</w:t>
            </w:r>
          </w:p>
          <w:p w:rsidR="00E465A1" w:rsidRPr="00601FC1" w:rsidRDefault="00E465A1" w:rsidP="0009638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morfologia krwi ze wzorem odsetkowym  </w:t>
            </w:r>
          </w:p>
          <w:p w:rsidR="00E465A1" w:rsidRPr="00601FC1" w:rsidRDefault="00E465A1" w:rsidP="0009638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lenalidomidem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pomalidomidem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test ciążowy o czułości min. 25mIU/ml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pacjentek mogących zajść w ciążę, zgodnie z zaleceniami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 Produktu Leczniczego</w:t>
            </w:r>
          </w:p>
          <w:p w:rsidR="00E465A1" w:rsidRDefault="00426ECF" w:rsidP="0009638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przypadku leczenia </w:t>
            </w:r>
            <w:proofErr w:type="spellStart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daratumumabem</w:t>
            </w:r>
            <w:proofErr w:type="spellEnd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badania biochemiczne (AST, ALT, bilirubina całkowita, wapń, kreatynina i </w:t>
            </w:r>
            <w:proofErr w:type="spellStart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</w:t>
            </w:r>
            <w:r w:rsidR="00F060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E465A1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:rsidR="00C623DD" w:rsidRPr="00A04F61" w:rsidRDefault="00426ECF" w:rsidP="00C623D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w</w:t>
            </w:r>
            <w:r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</w:t>
            </w:r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przypadku leczenia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karfilzomibem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w połączeniu z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lenalidomidem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>deksametazonem</w:t>
            </w:r>
            <w:proofErr w:type="spellEnd"/>
            <w:r w:rsidR="00C623DD" w:rsidRPr="00A04F61">
              <w:rPr>
                <w:rFonts w:asciiTheme="majorBidi" w:eastAsia="Times New Roman" w:hAnsiTheme="majorBidi" w:cstheme="majorBidi"/>
                <w:sz w:val="20"/>
                <w:szCs w:val="20"/>
                <w:lang w:eastAsia="pl-PL"/>
              </w:rPr>
              <w:t xml:space="preserve">: </w:t>
            </w:r>
            <w:r w:rsidR="00C623DD"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raz w miesiącu należy kontrolować stężenie potasu w surowicy krwi oraz EKG.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Pr="00A04F6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skuteczności:</w:t>
            </w:r>
          </w:p>
          <w:p w:rsidR="006E2DF0" w:rsidRPr="00C1655F" w:rsidRDefault="006E2DF0" w:rsidP="006E2D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lenalidomidem</w:t>
            </w:r>
            <w:proofErr w:type="spellEnd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pomalidomidem</w:t>
            </w:r>
            <w:proofErr w:type="spellEnd"/>
            <w:r w:rsidRPr="00C1655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po 6. cyklu leczenia należy wykonać: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wapnia w surowicy;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AIAT;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bilirubiny;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kreatyniny;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klirens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kreatyniny;</w:t>
            </w:r>
          </w:p>
          <w:p w:rsidR="006E2DF0" w:rsidRPr="00601FC1" w:rsidRDefault="006E2DF0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M;</w:t>
            </w:r>
          </w:p>
          <w:p w:rsidR="006E2DF0" w:rsidRPr="00601FC1" w:rsidRDefault="00426ECF" w:rsidP="006E2DF0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663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iskodawkowa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2DF0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 układu kostnego lub badanie RTG  (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badanie kośćca </w:t>
            </w:r>
            <w:r w:rsidR="006E2DF0"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decyzji lekarza).</w:t>
            </w:r>
          </w:p>
          <w:p w:rsidR="00E465A1" w:rsidRPr="00601FC1" w:rsidRDefault="00E465A1" w:rsidP="006E2DF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 przypadku leczenia </w:t>
            </w:r>
            <w:proofErr w:type="spellStart"/>
            <w:r w:rsidRPr="00A04F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daratumumabem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oznaczenie stężenia białka M w surowicy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moczu nie rzadziej niż co 2 cykle leczenia,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po 6 cyklu leczenia wykona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bada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ń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pozwalając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ocenę skuteczności prowadzonego leczenia zgodnie z aktualnymi,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ujednoliconymi kryteriami przyjętymi 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E2D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nternational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Myeloma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Working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Group</w:t>
            </w:r>
            <w:proofErr w:type="spellEnd"/>
            <w:r w:rsidRPr="00601F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(IMWG).</w:t>
            </w:r>
          </w:p>
          <w:p w:rsidR="00E465A1" w:rsidRPr="00601FC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65A1" w:rsidRDefault="00E465A1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3DD" w:rsidRPr="00A04F61" w:rsidRDefault="00C623DD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W przypadku leczenia </w:t>
            </w:r>
            <w:proofErr w:type="spellStart"/>
            <w:r w:rsidRPr="00A04F61">
              <w:rPr>
                <w:rFonts w:asciiTheme="majorBidi" w:hAnsiTheme="majorBidi" w:cstheme="majorBidi"/>
                <w:sz w:val="20"/>
                <w:szCs w:val="20"/>
              </w:rPr>
              <w:t>karfilzomibem</w:t>
            </w:r>
            <w:proofErr w:type="spellEnd"/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 w połączeniu z </w:t>
            </w:r>
            <w:proofErr w:type="spellStart"/>
            <w:r w:rsidRPr="00A04F61">
              <w:rPr>
                <w:rFonts w:asciiTheme="majorBidi" w:hAnsiTheme="majorBidi" w:cstheme="majorBidi"/>
                <w:sz w:val="20"/>
                <w:szCs w:val="20"/>
              </w:rPr>
              <w:t>lenalidomidem</w:t>
            </w:r>
            <w:proofErr w:type="spellEnd"/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 i </w:t>
            </w:r>
            <w:proofErr w:type="spellStart"/>
            <w:r w:rsidRPr="00A04F61">
              <w:rPr>
                <w:rFonts w:asciiTheme="majorBidi" w:hAnsiTheme="majorBidi" w:cstheme="majorBidi"/>
                <w:sz w:val="20"/>
                <w:szCs w:val="20"/>
              </w:rPr>
              <w:t>deksametazonem</w:t>
            </w:r>
            <w:proofErr w:type="spellEnd"/>
            <w:r w:rsidRPr="00A04F61">
              <w:rPr>
                <w:rFonts w:asciiTheme="majorBidi" w:hAnsiTheme="majorBidi" w:cstheme="majorBidi"/>
                <w:sz w:val="20"/>
                <w:szCs w:val="20"/>
              </w:rPr>
              <w:t>:</w:t>
            </w:r>
          </w:p>
          <w:p w:rsidR="00C623DD" w:rsidRPr="00A04F61" w:rsidRDefault="00C623DD" w:rsidP="00C623D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>Po 4. cyklu leczenia należy wykonać: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wapnia w surowicy;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AspAT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AIAT;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bilirubiny;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kreatyniny;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spellStart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klirens</w:t>
            </w:r>
            <w:proofErr w:type="spellEnd"/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kreatyniny;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stężenie białka M;</w:t>
            </w:r>
          </w:p>
          <w:p w:rsidR="00C623DD" w:rsidRPr="00A04F61" w:rsidRDefault="00C623DD" w:rsidP="00C623D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A04F61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="00426ECF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n</w:t>
            </w:r>
            <w:r w:rsidR="00426ECF"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iskodawkowa</w:t>
            </w:r>
            <w:proofErr w:type="spellEnd"/>
            <w:r w:rsidR="00426ECF"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 xml:space="preserve"> </w:t>
            </w:r>
            <w:r w:rsidRPr="00A04F61">
              <w:rPr>
                <w:rFonts w:asciiTheme="majorBidi" w:hAnsiTheme="majorBidi" w:cstheme="majorBidi"/>
                <w:sz w:val="20"/>
                <w:szCs w:val="20"/>
                <w:lang w:eastAsia="pl-PL"/>
              </w:rPr>
              <w:t>TK układu kostnego lub badanie RTG (badanie kośćca do decyzji lekarza)</w:t>
            </w:r>
          </w:p>
          <w:p w:rsidR="00C623DD" w:rsidRDefault="00C623DD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3DD" w:rsidRPr="00601FC1" w:rsidRDefault="00C623DD" w:rsidP="000963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5A1" w:rsidRPr="00601FC1" w:rsidRDefault="00E465A1" w:rsidP="0009638B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01F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Monitorowanie programu:</w:t>
            </w:r>
          </w:p>
          <w:p w:rsidR="00E465A1" w:rsidRPr="00601FC1" w:rsidRDefault="00E465A1" w:rsidP="00BA3A5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2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 każdorazowe ich przedstawianie na żądanie kontrolerów Narodowego Funduszu Zdrowia;</w:t>
            </w:r>
          </w:p>
          <w:p w:rsidR="00E465A1" w:rsidRPr="00601FC1" w:rsidRDefault="00E465A1" w:rsidP="00BA3A5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2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uzupełnianie danych zawartych w rejestrze (SMPT)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udostępnionej przez OW NFZ, z częstotliwością zgodną z opisem programu oraz na zakończenie leczenia;</w:t>
            </w:r>
          </w:p>
          <w:p w:rsidR="00E465A1" w:rsidRPr="00601FC1" w:rsidRDefault="00E465A1" w:rsidP="00BA3A5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52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w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formie elektronicznej, zgodnie z wymaganiami opublikowanymi 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FC1">
              <w:rPr>
                <w:rFonts w:ascii="Times New Roman" w:hAnsi="Times New Roman" w:cs="Times New Roman"/>
                <w:sz w:val="20"/>
                <w:szCs w:val="20"/>
              </w:rPr>
              <w:t>Narodowy Fundusz Zdrowia.</w:t>
            </w:r>
          </w:p>
        </w:tc>
      </w:tr>
    </w:tbl>
    <w:p w:rsidR="00723201" w:rsidRDefault="00723201" w:rsidP="00BA3A5B"/>
    <w:sectPr w:rsidR="00723201" w:rsidSect="0041579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D3A4E"/>
    <w:multiLevelType w:val="hybridMultilevel"/>
    <w:tmpl w:val="3F122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7194"/>
    <w:multiLevelType w:val="hybridMultilevel"/>
    <w:tmpl w:val="162032FA"/>
    <w:lvl w:ilvl="0" w:tplc="99C2461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6512E"/>
    <w:multiLevelType w:val="hybridMultilevel"/>
    <w:tmpl w:val="09EC1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55B1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D591D"/>
    <w:multiLevelType w:val="hybridMultilevel"/>
    <w:tmpl w:val="E9F88FE2"/>
    <w:lvl w:ilvl="0" w:tplc="04150011">
      <w:start w:val="1"/>
      <w:numFmt w:val="decimal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 w15:restartNumberingAfterBreak="0">
    <w:nsid w:val="17221D8A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03D8E"/>
    <w:multiLevelType w:val="hybridMultilevel"/>
    <w:tmpl w:val="6C7A1070"/>
    <w:lvl w:ilvl="0" w:tplc="44A845C6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33883"/>
    <w:multiLevelType w:val="hybridMultilevel"/>
    <w:tmpl w:val="59F695B6"/>
    <w:lvl w:ilvl="0" w:tplc="14FA25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E27E6"/>
    <w:multiLevelType w:val="hybridMultilevel"/>
    <w:tmpl w:val="2F38C338"/>
    <w:lvl w:ilvl="0" w:tplc="4886CCB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E78D5"/>
    <w:multiLevelType w:val="hybridMultilevel"/>
    <w:tmpl w:val="C6C8884C"/>
    <w:lvl w:ilvl="0" w:tplc="6366A6C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10A25"/>
    <w:multiLevelType w:val="hybridMultilevel"/>
    <w:tmpl w:val="E084C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E04E0"/>
    <w:multiLevelType w:val="multilevel"/>
    <w:tmpl w:val="44329C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F2C19B1"/>
    <w:multiLevelType w:val="hybridMultilevel"/>
    <w:tmpl w:val="F8A68CCA"/>
    <w:lvl w:ilvl="0" w:tplc="A30A3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8F628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86481"/>
    <w:multiLevelType w:val="hybridMultilevel"/>
    <w:tmpl w:val="0C3A4836"/>
    <w:lvl w:ilvl="0" w:tplc="EC8A1AC0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92FD2"/>
    <w:multiLevelType w:val="hybridMultilevel"/>
    <w:tmpl w:val="A10A9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767C2"/>
    <w:multiLevelType w:val="hybridMultilevel"/>
    <w:tmpl w:val="BA4CA5A2"/>
    <w:lvl w:ilvl="0" w:tplc="27401DB2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230DA"/>
    <w:multiLevelType w:val="hybridMultilevel"/>
    <w:tmpl w:val="EED2765E"/>
    <w:lvl w:ilvl="0" w:tplc="0A3AD7C2">
      <w:start w:val="1"/>
      <w:numFmt w:val="decimal"/>
      <w:lvlText w:val="%1)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E0522"/>
    <w:multiLevelType w:val="hybridMultilevel"/>
    <w:tmpl w:val="35BA6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B111A"/>
    <w:multiLevelType w:val="hybridMultilevel"/>
    <w:tmpl w:val="83C0D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40219"/>
    <w:multiLevelType w:val="multilevel"/>
    <w:tmpl w:val="2BD4ED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7"/>
  </w:num>
  <w:num w:numId="5">
    <w:abstractNumId w:val="18"/>
  </w:num>
  <w:num w:numId="6">
    <w:abstractNumId w:val="14"/>
  </w:num>
  <w:num w:numId="7">
    <w:abstractNumId w:val="0"/>
  </w:num>
  <w:num w:numId="8">
    <w:abstractNumId w:val="3"/>
  </w:num>
  <w:num w:numId="9">
    <w:abstractNumId w:val="8"/>
  </w:num>
  <w:num w:numId="10">
    <w:abstractNumId w:val="12"/>
  </w:num>
  <w:num w:numId="11">
    <w:abstractNumId w:val="19"/>
  </w:num>
  <w:num w:numId="12">
    <w:abstractNumId w:val="2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E465A1"/>
    <w:rsid w:val="00034E63"/>
    <w:rsid w:val="000D247B"/>
    <w:rsid w:val="000E53D9"/>
    <w:rsid w:val="00185FCA"/>
    <w:rsid w:val="00187165"/>
    <w:rsid w:val="001B4CB6"/>
    <w:rsid w:val="001D0E40"/>
    <w:rsid w:val="00377C26"/>
    <w:rsid w:val="00397D44"/>
    <w:rsid w:val="00426ECF"/>
    <w:rsid w:val="00442E48"/>
    <w:rsid w:val="004850C8"/>
    <w:rsid w:val="005C05DD"/>
    <w:rsid w:val="00646712"/>
    <w:rsid w:val="006E2DF0"/>
    <w:rsid w:val="00723201"/>
    <w:rsid w:val="007B7F64"/>
    <w:rsid w:val="008203E9"/>
    <w:rsid w:val="008C4E99"/>
    <w:rsid w:val="00971E3E"/>
    <w:rsid w:val="00995DB3"/>
    <w:rsid w:val="00A04F61"/>
    <w:rsid w:val="00A3790F"/>
    <w:rsid w:val="00BA3A5B"/>
    <w:rsid w:val="00BC697B"/>
    <w:rsid w:val="00BD29BF"/>
    <w:rsid w:val="00C623DD"/>
    <w:rsid w:val="00D242EE"/>
    <w:rsid w:val="00E465A1"/>
    <w:rsid w:val="00EC6552"/>
    <w:rsid w:val="00ED2F32"/>
    <w:rsid w:val="00F06065"/>
    <w:rsid w:val="00F9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1E774-4A98-4EA3-9A98-AADAAFD0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5A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4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0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5D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7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7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7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7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7F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2433</Words>
  <Characters>14604</Characters>
  <Application>Microsoft Office Word</Application>
  <DocSecurity>0</DocSecurity>
  <Lines>121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17003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Gęca Sylwia</dc:creator>
  <cp:lastModifiedBy>Protas Anna</cp:lastModifiedBy>
  <cp:revision>2</cp:revision>
  <cp:lastPrinted>2019-06-13T09:26:00Z</cp:lastPrinted>
  <dcterms:created xsi:type="dcterms:W3CDTF">2019-06-13T11:37:00Z</dcterms:created>
  <dcterms:modified xsi:type="dcterms:W3CDTF">2019-06-13T11:37:00Z</dcterms:modified>
</cp:coreProperties>
</file>